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D09" w:rsidRPr="00102D09" w:rsidRDefault="00102D09" w:rsidP="00102D09">
      <w:pPr>
        <w:shd w:val="clear" w:color="auto" w:fill="FFFFFF"/>
        <w:spacing w:after="225" w:line="240" w:lineRule="auto"/>
        <w:jc w:val="center"/>
        <w:outlineLvl w:val="3"/>
        <w:rPr>
          <w:rFonts w:ascii="Times New Roman" w:eastAsia="Times New Roman" w:hAnsi="Times New Roman" w:cs="Times New Roman"/>
          <w:b/>
          <w:bCs/>
          <w:color w:val="070707"/>
          <w:sz w:val="36"/>
          <w:szCs w:val="36"/>
          <w:lang w:eastAsia="ro-RO"/>
        </w:rPr>
      </w:pPr>
      <w:r w:rsidRPr="00102D09">
        <w:rPr>
          <w:rFonts w:ascii="Times New Roman" w:eastAsia="Times New Roman" w:hAnsi="Times New Roman" w:cs="Times New Roman"/>
          <w:b/>
          <w:bCs/>
          <w:color w:val="070707"/>
          <w:sz w:val="36"/>
          <w:szCs w:val="36"/>
          <w:lang w:eastAsia="ro-RO"/>
        </w:rPr>
        <w:t xml:space="preserve">Ajutorul pentru încălzirea locuinței cu gaze naturale, energie termică, energie electrică, lemne </w:t>
      </w:r>
      <w:bookmarkStart w:id="0" w:name="_GoBack"/>
      <w:bookmarkEnd w:id="0"/>
      <w:r w:rsidRPr="00102D09">
        <w:rPr>
          <w:rFonts w:ascii="Times New Roman" w:eastAsia="Times New Roman" w:hAnsi="Times New Roman" w:cs="Times New Roman"/>
          <w:b/>
          <w:bCs/>
          <w:color w:val="070707"/>
          <w:sz w:val="36"/>
          <w:szCs w:val="36"/>
          <w:lang w:eastAsia="ro-RO"/>
        </w:rPr>
        <w:t xml:space="preserve"> pentru  sezonul rece 2023-2024</w:t>
      </w:r>
    </w:p>
    <w:p w:rsidR="00102D09" w:rsidRPr="00102D09" w:rsidRDefault="00102D09" w:rsidP="00F17B42">
      <w:pPr>
        <w:shd w:val="clear" w:color="auto" w:fill="FFFFFF"/>
        <w:spacing w:before="240" w:line="240" w:lineRule="auto"/>
        <w:jc w:val="both"/>
        <w:rPr>
          <w:rFonts w:ascii="Times New Roman" w:eastAsia="Times New Roman" w:hAnsi="Times New Roman" w:cs="Times New Roman"/>
          <w:sz w:val="28"/>
          <w:szCs w:val="28"/>
          <w:lang w:eastAsia="ro-RO"/>
        </w:rPr>
      </w:pPr>
      <w:r w:rsidRPr="00102D09">
        <w:rPr>
          <w:rFonts w:ascii="Times New Roman" w:eastAsia="Times New Roman" w:hAnsi="Times New Roman" w:cs="Times New Roman"/>
          <w:sz w:val="28"/>
          <w:szCs w:val="28"/>
          <w:lang w:eastAsia="ro-RO"/>
        </w:rPr>
        <w:t>Cererile pentru acordarea ajutorului de încălzire pentru sezonul rece 202</w:t>
      </w:r>
      <w:r w:rsidR="00F17B42">
        <w:rPr>
          <w:rFonts w:ascii="Times New Roman" w:eastAsia="Times New Roman" w:hAnsi="Times New Roman" w:cs="Times New Roman"/>
          <w:sz w:val="28"/>
          <w:szCs w:val="28"/>
          <w:lang w:eastAsia="ro-RO"/>
        </w:rPr>
        <w:t>3</w:t>
      </w:r>
      <w:r w:rsidRPr="00102D09">
        <w:rPr>
          <w:rFonts w:ascii="Times New Roman" w:eastAsia="Times New Roman" w:hAnsi="Times New Roman" w:cs="Times New Roman"/>
          <w:sz w:val="28"/>
          <w:szCs w:val="28"/>
          <w:lang w:eastAsia="ro-RO"/>
        </w:rPr>
        <w:t>- 202</w:t>
      </w:r>
      <w:r w:rsidR="00F17B42">
        <w:rPr>
          <w:rFonts w:ascii="Times New Roman" w:eastAsia="Times New Roman" w:hAnsi="Times New Roman" w:cs="Times New Roman"/>
          <w:sz w:val="28"/>
          <w:szCs w:val="28"/>
          <w:lang w:eastAsia="ro-RO"/>
        </w:rPr>
        <w:t>4</w:t>
      </w:r>
      <w:r w:rsidRPr="00102D09">
        <w:rPr>
          <w:rFonts w:ascii="Times New Roman" w:eastAsia="Times New Roman" w:hAnsi="Times New Roman" w:cs="Times New Roman"/>
          <w:sz w:val="28"/>
          <w:szCs w:val="28"/>
          <w:lang w:eastAsia="ro-RO"/>
        </w:rPr>
        <w:t xml:space="preserve"> și a suplimentului pentru energie se depun la</w:t>
      </w:r>
      <w:r>
        <w:rPr>
          <w:rFonts w:ascii="Times New Roman" w:eastAsia="Times New Roman" w:hAnsi="Times New Roman" w:cs="Times New Roman"/>
          <w:sz w:val="28"/>
          <w:szCs w:val="28"/>
          <w:lang w:eastAsia="ro-RO"/>
        </w:rPr>
        <w:t xml:space="preserve"> sediul  Primăriei</w:t>
      </w:r>
      <w:r w:rsidRPr="00102D09">
        <w:rPr>
          <w:rFonts w:ascii="Times New Roman" w:eastAsia="Times New Roman" w:hAnsi="Times New Roman" w:cs="Times New Roman"/>
          <w:sz w:val="28"/>
          <w:szCs w:val="28"/>
          <w:lang w:eastAsia="ro-RO"/>
        </w:rPr>
        <w:t xml:space="preserve"> Comunei Orlat.</w:t>
      </w:r>
    </w:p>
    <w:p w:rsidR="00102D09" w:rsidRPr="00102D09" w:rsidRDefault="00102D09" w:rsidP="00F17B42">
      <w:pPr>
        <w:shd w:val="clear" w:color="auto" w:fill="FFFFFF"/>
        <w:spacing w:before="240" w:line="240" w:lineRule="auto"/>
        <w:jc w:val="both"/>
        <w:rPr>
          <w:rFonts w:ascii="Times New Roman" w:eastAsia="Times New Roman" w:hAnsi="Times New Roman" w:cs="Times New Roman"/>
          <w:sz w:val="28"/>
          <w:szCs w:val="28"/>
          <w:lang w:eastAsia="ro-RO"/>
        </w:rPr>
      </w:pPr>
      <w:r w:rsidRPr="00102D09">
        <w:rPr>
          <w:rFonts w:ascii="Times New Roman" w:eastAsia="Times New Roman" w:hAnsi="Times New Roman" w:cs="Times New Roman"/>
          <w:sz w:val="28"/>
          <w:szCs w:val="28"/>
          <w:lang w:eastAsia="ro-RO"/>
        </w:rPr>
        <w:t>Aceste două tipuri de ajutor pot fi acordate cumulat persoanelor singure, ale căror venituri nu depășesc 2.053 de lei, precum și familiilor al căror venit pe membru de familie nu depășește 1.386 de lei.</w:t>
      </w:r>
    </w:p>
    <w:p w:rsidR="00F17B42" w:rsidRDefault="00102D09" w:rsidP="00F17B42">
      <w:pPr>
        <w:shd w:val="clear" w:color="auto" w:fill="FFFFFF"/>
        <w:spacing w:before="240" w:line="240" w:lineRule="auto"/>
        <w:jc w:val="both"/>
        <w:rPr>
          <w:rFonts w:ascii="Times New Roman" w:eastAsia="Times New Roman" w:hAnsi="Times New Roman" w:cs="Times New Roman"/>
          <w:sz w:val="28"/>
          <w:szCs w:val="28"/>
          <w:lang w:eastAsia="ro-RO"/>
        </w:rPr>
      </w:pPr>
      <w:r w:rsidRPr="00102D09">
        <w:rPr>
          <w:rFonts w:ascii="Times New Roman" w:eastAsia="Times New Roman" w:hAnsi="Times New Roman" w:cs="Times New Roman"/>
          <w:sz w:val="28"/>
          <w:szCs w:val="28"/>
          <w:lang w:eastAsia="ro-RO"/>
        </w:rPr>
        <w:t>Ajutorul pentru încălzirea locuinței, se acordă utilizatorilor de energie termică, energie electrică, gaze naturale sau lemne şi combustibili petrolieri, în funcție de venitul mediu net lunar pe membru de familie sau al persoanei singure,</w:t>
      </w:r>
    </w:p>
    <w:p w:rsidR="00102D09" w:rsidRPr="00102D09" w:rsidRDefault="00102D09" w:rsidP="00F17B42">
      <w:pPr>
        <w:shd w:val="clear" w:color="auto" w:fill="FFFFFF"/>
        <w:spacing w:before="240" w:line="240" w:lineRule="auto"/>
        <w:jc w:val="both"/>
        <w:rPr>
          <w:rFonts w:ascii="Times New Roman" w:eastAsia="Times New Roman" w:hAnsi="Times New Roman" w:cs="Times New Roman"/>
          <w:sz w:val="28"/>
          <w:szCs w:val="28"/>
          <w:lang w:eastAsia="ro-RO"/>
        </w:rPr>
      </w:pPr>
      <w:r w:rsidRPr="00102D09">
        <w:rPr>
          <w:rFonts w:ascii="Times New Roman" w:eastAsia="Times New Roman" w:hAnsi="Times New Roman" w:cs="Times New Roman"/>
          <w:sz w:val="28"/>
          <w:szCs w:val="28"/>
          <w:lang w:eastAsia="ro-RO"/>
        </w:rPr>
        <w:t>Ajutorul pentru încălzire se scade automat din valoarea facturii care atestă consumul lunar – adică acești bani nu vor fi acordați în mână beneficiarilor, ci direct furnizorilor de utilități. Excepție face contravaloarea ajutorului pentru încălzire cu combustibili solizi și/sau petrolieri care se va plăti direct titularului de către Primăria Comunei Orlat</w:t>
      </w:r>
    </w:p>
    <w:p w:rsidR="00102D09" w:rsidRPr="00102D09" w:rsidRDefault="00102D09" w:rsidP="00F17B42">
      <w:pPr>
        <w:shd w:val="clear" w:color="auto" w:fill="FFFFFF"/>
        <w:spacing w:before="240" w:line="240" w:lineRule="auto"/>
        <w:jc w:val="both"/>
        <w:rPr>
          <w:rFonts w:ascii="Times New Roman" w:eastAsia="Times New Roman" w:hAnsi="Times New Roman" w:cs="Times New Roman"/>
          <w:sz w:val="28"/>
          <w:szCs w:val="28"/>
          <w:lang w:eastAsia="ro-RO"/>
        </w:rPr>
      </w:pPr>
      <w:r w:rsidRPr="00102D09">
        <w:rPr>
          <w:rFonts w:ascii="Times New Roman" w:eastAsia="Times New Roman" w:hAnsi="Times New Roman" w:cs="Times New Roman"/>
          <w:sz w:val="28"/>
          <w:szCs w:val="28"/>
          <w:lang w:eastAsia="ro-RO"/>
        </w:rPr>
        <w:t>Ajutorul se acordă o singură dată, pentru o perioadă de maxim 5 luni, cuprins</w:t>
      </w:r>
      <w:r w:rsidR="00F17B42">
        <w:rPr>
          <w:rFonts w:ascii="Times New Roman" w:eastAsia="Times New Roman" w:hAnsi="Times New Roman" w:cs="Times New Roman"/>
          <w:sz w:val="28"/>
          <w:szCs w:val="28"/>
          <w:lang w:eastAsia="ro-RO"/>
        </w:rPr>
        <w:t>ă între data de 1 noiembrie 2023 și data de 31 martie 2024</w:t>
      </w:r>
      <w:r w:rsidRPr="00102D09">
        <w:rPr>
          <w:rFonts w:ascii="Times New Roman" w:eastAsia="Times New Roman" w:hAnsi="Times New Roman" w:cs="Times New Roman"/>
          <w:sz w:val="28"/>
          <w:szCs w:val="28"/>
          <w:lang w:eastAsia="ro-RO"/>
        </w:rPr>
        <w:t>.</w:t>
      </w:r>
    </w:p>
    <w:p w:rsidR="00102D09" w:rsidRPr="00102D09" w:rsidRDefault="00102D09" w:rsidP="00F17B42">
      <w:pPr>
        <w:shd w:val="clear" w:color="auto" w:fill="FFFFFF"/>
        <w:spacing w:before="240" w:line="240" w:lineRule="auto"/>
        <w:jc w:val="both"/>
        <w:rPr>
          <w:rFonts w:ascii="Times New Roman" w:eastAsia="Times New Roman" w:hAnsi="Times New Roman" w:cs="Times New Roman"/>
          <w:sz w:val="28"/>
          <w:szCs w:val="28"/>
          <w:lang w:eastAsia="ro-RO"/>
        </w:rPr>
      </w:pPr>
      <w:r w:rsidRPr="00102D09">
        <w:rPr>
          <w:rFonts w:ascii="Times New Roman" w:eastAsia="Times New Roman" w:hAnsi="Times New Roman" w:cs="Times New Roman"/>
          <w:sz w:val="28"/>
          <w:szCs w:val="28"/>
          <w:lang w:eastAsia="ro-RO"/>
        </w:rPr>
        <w:t>Cererile pentru întreg sezonul rece, noiembrie 2023 – martie 2024, se primesc până în 20 a lunii respective. Dacă cetățenii îndeplinesc criteriile pentru a primi</w:t>
      </w:r>
      <w:r w:rsidR="00F17B42">
        <w:rPr>
          <w:rFonts w:ascii="Times New Roman" w:eastAsia="Times New Roman" w:hAnsi="Times New Roman" w:cs="Times New Roman"/>
          <w:sz w:val="28"/>
          <w:szCs w:val="28"/>
          <w:lang w:eastAsia="ro-RO"/>
        </w:rPr>
        <w:t>i</w:t>
      </w:r>
      <w:r w:rsidRPr="00102D09">
        <w:rPr>
          <w:rFonts w:ascii="Times New Roman" w:eastAsia="Times New Roman" w:hAnsi="Times New Roman" w:cs="Times New Roman"/>
          <w:sz w:val="28"/>
          <w:szCs w:val="28"/>
          <w:lang w:eastAsia="ro-RO"/>
        </w:rPr>
        <w:t xml:space="preserve"> acest ajutor pe parcursul sezonului rece, aceștia pot depune actele, dreptul la acest sprijin financiar urmând să se constituie după cum urmează:</w:t>
      </w:r>
    </w:p>
    <w:p w:rsidR="00102D09" w:rsidRPr="00102D09" w:rsidRDefault="00102D09" w:rsidP="00F17B42">
      <w:pPr>
        <w:numPr>
          <w:ilvl w:val="0"/>
          <w:numId w:val="1"/>
        </w:numPr>
        <w:shd w:val="clear" w:color="auto" w:fill="FFFFFF"/>
        <w:spacing w:before="240" w:line="240" w:lineRule="auto"/>
        <w:ind w:left="120"/>
        <w:jc w:val="both"/>
        <w:rPr>
          <w:rFonts w:ascii="Times New Roman" w:eastAsia="Times New Roman" w:hAnsi="Times New Roman" w:cs="Times New Roman"/>
          <w:sz w:val="28"/>
          <w:szCs w:val="28"/>
          <w:lang w:eastAsia="ro-RO"/>
        </w:rPr>
      </w:pPr>
      <w:r w:rsidRPr="00102D09">
        <w:rPr>
          <w:rFonts w:ascii="Times New Roman" w:eastAsia="Times New Roman" w:hAnsi="Times New Roman" w:cs="Times New Roman"/>
          <w:sz w:val="28"/>
          <w:szCs w:val="28"/>
          <w:lang w:eastAsia="ro-RO"/>
        </w:rPr>
        <w:t>începând cu luna depunerii cererii, dacă documentele s-au depus până în data de 20 a lunii respective;</w:t>
      </w:r>
    </w:p>
    <w:p w:rsidR="00102D09" w:rsidRPr="00102D09" w:rsidRDefault="00102D09" w:rsidP="00F17B42">
      <w:pPr>
        <w:numPr>
          <w:ilvl w:val="0"/>
          <w:numId w:val="1"/>
        </w:numPr>
        <w:shd w:val="clear" w:color="auto" w:fill="FFFFFF"/>
        <w:spacing w:before="240" w:line="240" w:lineRule="auto"/>
        <w:ind w:left="120"/>
        <w:jc w:val="both"/>
        <w:rPr>
          <w:rFonts w:ascii="Times New Roman" w:eastAsia="Times New Roman" w:hAnsi="Times New Roman" w:cs="Times New Roman"/>
          <w:sz w:val="28"/>
          <w:szCs w:val="28"/>
          <w:lang w:eastAsia="ro-RO"/>
        </w:rPr>
      </w:pPr>
      <w:r w:rsidRPr="00102D09">
        <w:rPr>
          <w:rFonts w:ascii="Times New Roman" w:eastAsia="Times New Roman" w:hAnsi="Times New Roman" w:cs="Times New Roman"/>
          <w:sz w:val="28"/>
          <w:szCs w:val="28"/>
          <w:lang w:eastAsia="ro-RO"/>
        </w:rPr>
        <w:t>începând cu luna următoare, în cazul depunerii cererii după data de 20 a lunii;</w:t>
      </w:r>
    </w:p>
    <w:p w:rsidR="00102D09" w:rsidRPr="00102D09" w:rsidRDefault="00102D09" w:rsidP="00F17B42">
      <w:pPr>
        <w:numPr>
          <w:ilvl w:val="0"/>
          <w:numId w:val="1"/>
        </w:numPr>
        <w:shd w:val="clear" w:color="auto" w:fill="FFFFFF"/>
        <w:spacing w:before="240" w:line="240" w:lineRule="auto"/>
        <w:ind w:left="120"/>
        <w:jc w:val="both"/>
        <w:rPr>
          <w:rFonts w:ascii="Times New Roman" w:eastAsia="Times New Roman" w:hAnsi="Times New Roman" w:cs="Times New Roman"/>
          <w:sz w:val="28"/>
          <w:szCs w:val="28"/>
          <w:lang w:eastAsia="ro-RO"/>
        </w:rPr>
      </w:pPr>
      <w:r w:rsidRPr="00102D09">
        <w:rPr>
          <w:rFonts w:ascii="Times New Roman" w:eastAsia="Times New Roman" w:hAnsi="Times New Roman" w:cs="Times New Roman"/>
          <w:sz w:val="28"/>
          <w:szCs w:val="28"/>
          <w:lang w:eastAsia="ro-RO"/>
        </w:rPr>
        <w:t>începând cu luna depunerii cererii, pentru beneficiarii de ajutor social al căror drept de ajutor social este stabilit începând cu acea lună, indiferent de data la care a fost depusă cererea.</w:t>
      </w:r>
    </w:p>
    <w:p w:rsidR="00102D09" w:rsidRDefault="00102D09" w:rsidP="00F17B42">
      <w:pPr>
        <w:shd w:val="clear" w:color="auto" w:fill="FFFFFF"/>
        <w:spacing w:before="240" w:line="240" w:lineRule="auto"/>
        <w:jc w:val="both"/>
        <w:rPr>
          <w:rFonts w:ascii="Times New Roman" w:eastAsia="Times New Roman" w:hAnsi="Times New Roman" w:cs="Times New Roman"/>
          <w:sz w:val="28"/>
          <w:szCs w:val="28"/>
          <w:lang w:eastAsia="ro-RO"/>
        </w:rPr>
      </w:pPr>
      <w:r w:rsidRPr="00102D09">
        <w:rPr>
          <w:rFonts w:ascii="Times New Roman" w:eastAsia="Times New Roman" w:hAnsi="Times New Roman" w:cs="Times New Roman"/>
          <w:sz w:val="28"/>
          <w:szCs w:val="28"/>
          <w:lang w:eastAsia="ro-RO"/>
        </w:rPr>
        <w:t>Suplimentul pentru energie se acordă lunar, pe toată perioada anului, tuturor beneficiarilor ajutorului pentru încălzirea locuinţei, dar şi familiilor şi persoanelor singure, care nu au stabilit acest drept şi ale căror venituri sunt de până la 1.386 lei/membru de familie (în cazul familiei), sau până la 2.053 lei (în cazul persoanei singure).</w:t>
      </w:r>
    </w:p>
    <w:p w:rsidR="00F17B42" w:rsidRPr="00102D09" w:rsidRDefault="00F17B42" w:rsidP="00F17B42">
      <w:pPr>
        <w:shd w:val="clear" w:color="auto" w:fill="FFFFFF"/>
        <w:spacing w:before="240" w:line="240" w:lineRule="auto"/>
        <w:jc w:val="both"/>
        <w:rPr>
          <w:rFonts w:ascii="Times New Roman" w:eastAsia="Times New Roman" w:hAnsi="Times New Roman" w:cs="Times New Roman"/>
          <w:sz w:val="28"/>
          <w:szCs w:val="28"/>
          <w:lang w:eastAsia="ro-RO"/>
        </w:rPr>
      </w:pPr>
    </w:p>
    <w:p w:rsidR="00102D09" w:rsidRPr="00102D09" w:rsidRDefault="00102D09" w:rsidP="00102D09">
      <w:pPr>
        <w:shd w:val="clear" w:color="auto" w:fill="FFFFFF"/>
        <w:spacing w:after="225" w:line="240" w:lineRule="auto"/>
        <w:outlineLvl w:val="2"/>
        <w:rPr>
          <w:rFonts w:ascii="Times New Roman" w:eastAsia="Times New Roman" w:hAnsi="Times New Roman" w:cs="Times New Roman"/>
          <w:bCs/>
          <w:sz w:val="28"/>
          <w:szCs w:val="28"/>
          <w:lang w:eastAsia="ro-RO"/>
        </w:rPr>
      </w:pPr>
      <w:r w:rsidRPr="00102D09">
        <w:rPr>
          <w:rFonts w:ascii="Times New Roman" w:eastAsia="Times New Roman" w:hAnsi="Times New Roman" w:cs="Times New Roman"/>
          <w:bCs/>
          <w:sz w:val="28"/>
          <w:szCs w:val="28"/>
          <w:lang w:eastAsia="ro-RO"/>
        </w:rPr>
        <w:lastRenderedPageBreak/>
        <w:t>PRECIZARE IMPORTANTĂ</w:t>
      </w:r>
    </w:p>
    <w:p w:rsidR="00102D09" w:rsidRPr="00102D09" w:rsidRDefault="00102D09" w:rsidP="00102D09">
      <w:pPr>
        <w:shd w:val="clear" w:color="auto" w:fill="FFFFFF"/>
        <w:spacing w:after="375" w:line="240" w:lineRule="auto"/>
        <w:rPr>
          <w:rFonts w:ascii="Times New Roman" w:eastAsia="Times New Roman" w:hAnsi="Times New Roman" w:cs="Times New Roman"/>
          <w:color w:val="555555"/>
          <w:sz w:val="28"/>
          <w:szCs w:val="28"/>
          <w:lang w:eastAsia="ro-RO"/>
        </w:rPr>
      </w:pPr>
      <w:r w:rsidRPr="00102D09">
        <w:rPr>
          <w:rFonts w:ascii="Times New Roman" w:eastAsia="Times New Roman" w:hAnsi="Times New Roman" w:cs="Times New Roman"/>
          <w:sz w:val="28"/>
          <w:szCs w:val="28"/>
          <w:lang w:eastAsia="ro-RO"/>
        </w:rPr>
        <w:t>Nu au dreptul sa beneficieze de ajutor pentru încălzirea locuinței familiile sau persoanele singure care dețin în proprietate unul dintre bunurile cuprinse în lista bunurilor ce conduc la excluderea acordării ajutorului pentru încălzirea , după cum urmează:</w:t>
      </w:r>
    </w:p>
    <w:p w:rsidR="00102D09" w:rsidRPr="00102D09" w:rsidRDefault="00102D09" w:rsidP="00102D09">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o-RO"/>
        </w:rPr>
      </w:pPr>
      <w:r w:rsidRPr="00102D09">
        <w:rPr>
          <w:rFonts w:ascii="Times New Roman" w:eastAsia="Times New Roman" w:hAnsi="Times New Roman" w:cs="Times New Roman"/>
          <w:bCs/>
          <w:color w:val="333333"/>
          <w:sz w:val="28"/>
          <w:szCs w:val="28"/>
          <w:bdr w:val="none" w:sz="0" w:space="0" w:color="auto" w:frame="1"/>
          <w:lang w:eastAsia="ro-RO"/>
        </w:rPr>
        <w:t>LISTA BUNURILOR CE CONDUC LA EXCLUDEREA ACORDĂRII AJUTORULUI PENTRU INCĂLZIREA LOCUINȚEI</w:t>
      </w:r>
    </w:p>
    <w:p w:rsidR="00102D09" w:rsidRPr="00102D09" w:rsidRDefault="00102D09" w:rsidP="00102D09">
      <w:pPr>
        <w:shd w:val="clear" w:color="auto" w:fill="FFFFFF"/>
        <w:spacing w:after="0" w:line="240" w:lineRule="auto"/>
        <w:jc w:val="both"/>
        <w:rPr>
          <w:rFonts w:ascii="Times New Roman" w:eastAsia="Times New Roman" w:hAnsi="Times New Roman" w:cs="Times New Roman"/>
          <w:color w:val="000000"/>
          <w:sz w:val="28"/>
          <w:szCs w:val="28"/>
          <w:lang w:eastAsia="ro-RO"/>
        </w:rPr>
      </w:pPr>
      <w:r w:rsidRPr="00102D09">
        <w:rPr>
          <w:rFonts w:ascii="Times New Roman" w:eastAsia="Times New Roman" w:hAnsi="Times New Roman" w:cs="Times New Roman"/>
          <w:color w:val="000000"/>
          <w:sz w:val="28"/>
          <w:szCs w:val="28"/>
          <w:lang w:eastAsia="ro-RO"/>
        </w:rPr>
        <w:t> </w:t>
      </w:r>
    </w:p>
    <w:tbl>
      <w:tblPr>
        <w:tblW w:w="5000" w:type="pct"/>
        <w:tblCellMar>
          <w:left w:w="0" w:type="dxa"/>
          <w:right w:w="0" w:type="dxa"/>
        </w:tblCellMar>
        <w:tblLook w:val="04A0" w:firstRow="1" w:lastRow="0" w:firstColumn="1" w:lastColumn="0" w:noHBand="0" w:noVBand="1"/>
      </w:tblPr>
      <w:tblGrid>
        <w:gridCol w:w="9168"/>
      </w:tblGrid>
      <w:tr w:rsidR="00102D09" w:rsidRPr="00102D09" w:rsidTr="00102D09">
        <w:tc>
          <w:tcPr>
            <w:tcW w:w="9750" w:type="dxa"/>
            <w:tcBorders>
              <w:top w:val="outset" w:sz="8" w:space="0" w:color="auto"/>
              <w:left w:val="outset" w:sz="8" w:space="0" w:color="auto"/>
              <w:bottom w:val="nil"/>
              <w:right w:val="outset" w:sz="8" w:space="0" w:color="auto"/>
            </w:tcBorders>
            <w:shd w:val="clear" w:color="auto" w:fill="D9E9F4"/>
            <w:tcMar>
              <w:top w:w="48" w:type="dxa"/>
              <w:left w:w="48" w:type="dxa"/>
              <w:bottom w:w="48" w:type="dxa"/>
              <w:right w:w="48" w:type="dxa"/>
            </w:tcMar>
            <w:vAlign w:val="center"/>
            <w:hideMark/>
          </w:tcPr>
          <w:p w:rsidR="00102D09" w:rsidRPr="00102D09" w:rsidRDefault="00102D09" w:rsidP="00102D09">
            <w:pPr>
              <w:spacing w:after="0" w:line="240" w:lineRule="auto"/>
              <w:jc w:val="both"/>
              <w:textAlignment w:val="baseline"/>
              <w:rPr>
                <w:rFonts w:ascii="Times New Roman" w:eastAsia="Times New Roman" w:hAnsi="Times New Roman" w:cs="Times New Roman"/>
                <w:color w:val="000000"/>
                <w:sz w:val="28"/>
                <w:szCs w:val="28"/>
                <w:lang w:eastAsia="ro-RO"/>
              </w:rPr>
            </w:pPr>
            <w:r w:rsidRPr="00102D09">
              <w:rPr>
                <w:rFonts w:ascii="Times New Roman" w:eastAsia="Times New Roman" w:hAnsi="Times New Roman" w:cs="Times New Roman"/>
                <w:bCs/>
                <w:i/>
                <w:iCs/>
                <w:color w:val="333333"/>
                <w:sz w:val="28"/>
                <w:szCs w:val="28"/>
                <w:u w:val="single"/>
                <w:bdr w:val="none" w:sz="0" w:space="0" w:color="auto" w:frame="1"/>
                <w:lang w:eastAsia="ro-RO"/>
              </w:rPr>
              <w:t>Bunuri imobile</w:t>
            </w:r>
          </w:p>
        </w:tc>
      </w:tr>
      <w:tr w:rsidR="00102D09" w:rsidRPr="00102D09" w:rsidTr="00102D09">
        <w:tc>
          <w:tcPr>
            <w:tcW w:w="9750" w:type="dxa"/>
            <w:tcBorders>
              <w:top w:val="outset" w:sz="8" w:space="0" w:color="auto"/>
              <w:left w:val="outset" w:sz="8" w:space="0" w:color="auto"/>
              <w:bottom w:val="nil"/>
              <w:right w:val="outset" w:sz="8" w:space="0" w:color="auto"/>
            </w:tcBorders>
            <w:shd w:val="clear" w:color="auto" w:fill="A5CCE5"/>
            <w:tcMar>
              <w:top w:w="48" w:type="dxa"/>
              <w:left w:w="48" w:type="dxa"/>
              <w:bottom w:w="48" w:type="dxa"/>
              <w:right w:w="48" w:type="dxa"/>
            </w:tcMar>
            <w:vAlign w:val="center"/>
            <w:hideMark/>
          </w:tcPr>
          <w:p w:rsidR="00102D09" w:rsidRPr="00102D09" w:rsidRDefault="00102D09" w:rsidP="00102D09">
            <w:pPr>
              <w:spacing w:after="0" w:line="240" w:lineRule="auto"/>
              <w:jc w:val="both"/>
              <w:textAlignment w:val="baseline"/>
              <w:rPr>
                <w:rFonts w:ascii="Times New Roman" w:eastAsia="Times New Roman" w:hAnsi="Times New Roman" w:cs="Times New Roman"/>
                <w:color w:val="000000"/>
                <w:sz w:val="24"/>
                <w:szCs w:val="24"/>
                <w:lang w:eastAsia="ro-RO"/>
              </w:rPr>
            </w:pPr>
            <w:r w:rsidRPr="00102D09">
              <w:rPr>
                <w:rFonts w:ascii="Times New Roman" w:eastAsia="Times New Roman" w:hAnsi="Times New Roman" w:cs="Times New Roman"/>
                <w:b/>
                <w:bCs/>
                <w:i/>
                <w:iCs/>
                <w:color w:val="333333"/>
                <w:sz w:val="24"/>
                <w:szCs w:val="24"/>
                <w:bdr w:val="none" w:sz="0" w:space="0" w:color="auto" w:frame="1"/>
                <w:lang w:eastAsia="ro-RO"/>
              </w:rPr>
              <w:t>Clădiri sau alte spaţii locative în afara locuinţei de domiciliu şi a anexelor gospodăreşti</w:t>
            </w:r>
          </w:p>
        </w:tc>
      </w:tr>
      <w:tr w:rsidR="00102D09" w:rsidRPr="00102D09" w:rsidTr="00102D09">
        <w:tc>
          <w:tcPr>
            <w:tcW w:w="9750" w:type="dxa"/>
            <w:tcBorders>
              <w:top w:val="outset" w:sz="8" w:space="0" w:color="auto"/>
              <w:left w:val="outset" w:sz="8" w:space="0" w:color="auto"/>
              <w:bottom w:val="nil"/>
              <w:right w:val="outset" w:sz="8" w:space="0" w:color="auto"/>
            </w:tcBorders>
            <w:shd w:val="clear" w:color="auto" w:fill="D9E9F4"/>
            <w:tcMar>
              <w:top w:w="48" w:type="dxa"/>
              <w:left w:w="48" w:type="dxa"/>
              <w:bottom w:w="48" w:type="dxa"/>
              <w:right w:w="48" w:type="dxa"/>
            </w:tcMar>
            <w:vAlign w:val="center"/>
            <w:hideMark/>
          </w:tcPr>
          <w:p w:rsidR="00102D09" w:rsidRPr="00102D09" w:rsidRDefault="00102D09" w:rsidP="00102D09">
            <w:pPr>
              <w:spacing w:after="150" w:line="240" w:lineRule="auto"/>
              <w:jc w:val="both"/>
              <w:textAlignment w:val="baseline"/>
              <w:rPr>
                <w:rFonts w:ascii="Times New Roman" w:eastAsia="Times New Roman" w:hAnsi="Times New Roman" w:cs="Times New Roman"/>
                <w:color w:val="000000"/>
                <w:sz w:val="24"/>
                <w:szCs w:val="24"/>
                <w:lang w:eastAsia="ro-RO"/>
              </w:rPr>
            </w:pPr>
            <w:r w:rsidRPr="00102D09">
              <w:rPr>
                <w:rFonts w:ascii="Times New Roman" w:eastAsia="Times New Roman" w:hAnsi="Times New Roman" w:cs="Times New Roman"/>
                <w:color w:val="333333"/>
                <w:sz w:val="24"/>
                <w:szCs w:val="24"/>
                <w:lang w:eastAsia="ro-RO"/>
              </w:rPr>
              <w:t>Terenuri de împrejmuire a locuinţei şi curtea aferentă şi alte terenuri intravilane care depăşesc 1.000 mp în zona urbană şi 2.000 mp în zona rurală. Fac excepție terenurile din zonele colinare sau de munte care nu au potențial de valorificare prin vânzare/construcție/producție agricolă</w:t>
            </w:r>
          </w:p>
        </w:tc>
      </w:tr>
      <w:tr w:rsidR="00102D09" w:rsidRPr="00102D09" w:rsidTr="00102D09">
        <w:tc>
          <w:tcPr>
            <w:tcW w:w="9750" w:type="dxa"/>
            <w:tcBorders>
              <w:top w:val="outset" w:sz="8" w:space="0" w:color="auto"/>
              <w:left w:val="outset" w:sz="8" w:space="0" w:color="auto"/>
              <w:bottom w:val="nil"/>
              <w:right w:val="outset" w:sz="8" w:space="0" w:color="auto"/>
            </w:tcBorders>
            <w:shd w:val="clear" w:color="auto" w:fill="A5CCE5"/>
            <w:tcMar>
              <w:top w:w="48" w:type="dxa"/>
              <w:left w:w="48" w:type="dxa"/>
              <w:bottom w:w="48" w:type="dxa"/>
              <w:right w:w="48" w:type="dxa"/>
            </w:tcMar>
            <w:vAlign w:val="center"/>
            <w:hideMark/>
          </w:tcPr>
          <w:p w:rsidR="00102D09" w:rsidRPr="00102D09" w:rsidRDefault="00102D09" w:rsidP="00102D09">
            <w:pPr>
              <w:spacing w:after="0" w:line="240" w:lineRule="auto"/>
              <w:jc w:val="both"/>
              <w:textAlignment w:val="baseline"/>
              <w:rPr>
                <w:rFonts w:ascii="Times New Roman" w:eastAsia="Times New Roman" w:hAnsi="Times New Roman" w:cs="Times New Roman"/>
                <w:color w:val="000000"/>
                <w:sz w:val="24"/>
                <w:szCs w:val="24"/>
                <w:lang w:eastAsia="ro-RO"/>
              </w:rPr>
            </w:pPr>
            <w:r w:rsidRPr="00102D09">
              <w:rPr>
                <w:rFonts w:ascii="Times New Roman" w:eastAsia="Times New Roman" w:hAnsi="Times New Roman" w:cs="Times New Roman"/>
                <w:b/>
                <w:bCs/>
                <w:i/>
                <w:iCs/>
                <w:color w:val="333333"/>
                <w:sz w:val="24"/>
                <w:szCs w:val="24"/>
                <w:u w:val="single"/>
                <w:bdr w:val="none" w:sz="0" w:space="0" w:color="auto" w:frame="1"/>
                <w:lang w:eastAsia="ro-RO"/>
              </w:rPr>
              <w:t>Bunuri mobile (aflate in stare de functionare)</w:t>
            </w:r>
          </w:p>
        </w:tc>
      </w:tr>
      <w:tr w:rsidR="00102D09" w:rsidRPr="00102D09" w:rsidTr="00102D09">
        <w:tc>
          <w:tcPr>
            <w:tcW w:w="9750" w:type="dxa"/>
            <w:tcBorders>
              <w:top w:val="outset" w:sz="8" w:space="0" w:color="auto"/>
              <w:left w:val="outset" w:sz="8" w:space="0" w:color="auto"/>
              <w:bottom w:val="nil"/>
              <w:right w:val="outset" w:sz="8" w:space="0" w:color="auto"/>
            </w:tcBorders>
            <w:shd w:val="clear" w:color="auto" w:fill="D9E9F4"/>
            <w:tcMar>
              <w:top w:w="48" w:type="dxa"/>
              <w:left w:w="48" w:type="dxa"/>
              <w:bottom w:w="48" w:type="dxa"/>
              <w:right w:w="48" w:type="dxa"/>
            </w:tcMar>
            <w:vAlign w:val="center"/>
            <w:hideMark/>
          </w:tcPr>
          <w:p w:rsidR="00102D09" w:rsidRPr="00102D09" w:rsidRDefault="00102D09" w:rsidP="00102D09">
            <w:pPr>
              <w:spacing w:after="0" w:line="240" w:lineRule="auto"/>
              <w:jc w:val="both"/>
              <w:textAlignment w:val="baseline"/>
              <w:rPr>
                <w:rFonts w:ascii="Times New Roman" w:eastAsia="Times New Roman" w:hAnsi="Times New Roman" w:cs="Times New Roman"/>
                <w:color w:val="000000"/>
                <w:sz w:val="24"/>
                <w:szCs w:val="24"/>
                <w:lang w:eastAsia="ro-RO"/>
              </w:rPr>
            </w:pPr>
            <w:r w:rsidRPr="00102D09">
              <w:rPr>
                <w:rFonts w:ascii="Times New Roman" w:eastAsia="Times New Roman" w:hAnsi="Times New Roman" w:cs="Times New Roman"/>
                <w:b/>
                <w:bCs/>
                <w:i/>
                <w:iCs/>
                <w:color w:val="333333"/>
                <w:sz w:val="24"/>
                <w:szCs w:val="24"/>
                <w:bdr w:val="none" w:sz="0" w:space="0" w:color="auto" w:frame="1"/>
                <w:lang w:eastAsia="ro-RO"/>
              </w:rPr>
              <w:t>Autoturism/Autoturisme şi/sau motocicletă/motociclete cu o vechime mai mică de 10 ani, cu excepţia celor adaptate pentru persoanele cu handicap ori destinate transportului acestora sau persoanelor dependente, precum şi pentru uzul persoanelor aflate în zone greu accesibile</w:t>
            </w:r>
          </w:p>
        </w:tc>
      </w:tr>
      <w:tr w:rsidR="00102D09" w:rsidRPr="00102D09" w:rsidTr="00102D09">
        <w:tc>
          <w:tcPr>
            <w:tcW w:w="9750" w:type="dxa"/>
            <w:tcBorders>
              <w:top w:val="outset" w:sz="8" w:space="0" w:color="auto"/>
              <w:left w:val="outset" w:sz="8" w:space="0" w:color="auto"/>
              <w:bottom w:val="nil"/>
              <w:right w:val="outset" w:sz="8" w:space="0" w:color="auto"/>
            </w:tcBorders>
            <w:shd w:val="clear" w:color="auto" w:fill="A5CCE5"/>
            <w:tcMar>
              <w:top w:w="48" w:type="dxa"/>
              <w:left w:w="48" w:type="dxa"/>
              <w:bottom w:w="48" w:type="dxa"/>
              <w:right w:w="48" w:type="dxa"/>
            </w:tcMar>
            <w:vAlign w:val="center"/>
            <w:hideMark/>
          </w:tcPr>
          <w:p w:rsidR="00102D09" w:rsidRPr="00102D09" w:rsidRDefault="00102D09" w:rsidP="00102D09">
            <w:pPr>
              <w:spacing w:after="0" w:line="240" w:lineRule="auto"/>
              <w:jc w:val="both"/>
              <w:textAlignment w:val="baseline"/>
              <w:rPr>
                <w:rFonts w:ascii="Times New Roman" w:eastAsia="Times New Roman" w:hAnsi="Times New Roman" w:cs="Times New Roman"/>
                <w:color w:val="000000"/>
                <w:sz w:val="24"/>
                <w:szCs w:val="24"/>
                <w:lang w:eastAsia="ro-RO"/>
              </w:rPr>
            </w:pPr>
            <w:r w:rsidRPr="00102D09">
              <w:rPr>
                <w:rFonts w:ascii="Times New Roman" w:eastAsia="Times New Roman" w:hAnsi="Times New Roman" w:cs="Times New Roman"/>
                <w:b/>
                <w:bCs/>
                <w:i/>
                <w:iCs/>
                <w:color w:val="333333"/>
                <w:sz w:val="24"/>
                <w:szCs w:val="24"/>
                <w:bdr w:val="none" w:sz="0" w:space="0" w:color="auto" w:frame="1"/>
                <w:lang w:val="de-DE" w:eastAsia="ro-RO"/>
              </w:rPr>
              <w:t>Mai mult de un autoturism/motocicletă cu o vechime mai mare de 10 ani</w:t>
            </w:r>
          </w:p>
        </w:tc>
      </w:tr>
      <w:tr w:rsidR="00102D09" w:rsidRPr="00102D09" w:rsidTr="00102D09">
        <w:tc>
          <w:tcPr>
            <w:tcW w:w="9750" w:type="dxa"/>
            <w:tcBorders>
              <w:top w:val="outset" w:sz="8" w:space="0" w:color="auto"/>
              <w:left w:val="outset" w:sz="8" w:space="0" w:color="auto"/>
              <w:bottom w:val="nil"/>
              <w:right w:val="outset" w:sz="8" w:space="0" w:color="auto"/>
            </w:tcBorders>
            <w:shd w:val="clear" w:color="auto" w:fill="D9E9F4"/>
            <w:tcMar>
              <w:top w:w="48" w:type="dxa"/>
              <w:left w:w="48" w:type="dxa"/>
              <w:bottom w:w="48" w:type="dxa"/>
              <w:right w:w="48" w:type="dxa"/>
            </w:tcMar>
            <w:vAlign w:val="center"/>
            <w:hideMark/>
          </w:tcPr>
          <w:p w:rsidR="00102D09" w:rsidRPr="00102D09" w:rsidRDefault="00102D09" w:rsidP="00102D09">
            <w:pPr>
              <w:spacing w:after="0" w:line="240" w:lineRule="auto"/>
              <w:jc w:val="both"/>
              <w:textAlignment w:val="baseline"/>
              <w:rPr>
                <w:rFonts w:ascii="Times New Roman" w:eastAsia="Times New Roman" w:hAnsi="Times New Roman" w:cs="Times New Roman"/>
                <w:color w:val="000000"/>
                <w:sz w:val="24"/>
                <w:szCs w:val="24"/>
                <w:lang w:eastAsia="ro-RO"/>
              </w:rPr>
            </w:pPr>
            <w:r w:rsidRPr="00102D09">
              <w:rPr>
                <w:rFonts w:ascii="Times New Roman" w:eastAsia="Times New Roman" w:hAnsi="Times New Roman" w:cs="Times New Roman"/>
                <w:b/>
                <w:bCs/>
                <w:color w:val="333333"/>
                <w:sz w:val="24"/>
                <w:szCs w:val="24"/>
                <w:bdr w:val="none" w:sz="0" w:space="0" w:color="auto" w:frame="1"/>
                <w:lang w:eastAsia="ro-RO"/>
              </w:rPr>
              <w:t>Autovehicule: autoutilitare, autocamioane de orice fel cu sau fără remorci, rulote, autobuze, microbuze                         </w:t>
            </w:r>
          </w:p>
        </w:tc>
      </w:tr>
      <w:tr w:rsidR="00102D09" w:rsidRPr="00102D09" w:rsidTr="00102D09">
        <w:tc>
          <w:tcPr>
            <w:tcW w:w="9750" w:type="dxa"/>
            <w:tcBorders>
              <w:top w:val="outset" w:sz="8" w:space="0" w:color="auto"/>
              <w:left w:val="outset" w:sz="8" w:space="0" w:color="auto"/>
              <w:bottom w:val="nil"/>
              <w:right w:val="outset" w:sz="8" w:space="0" w:color="auto"/>
            </w:tcBorders>
            <w:shd w:val="clear" w:color="auto" w:fill="A5CCE5"/>
            <w:tcMar>
              <w:top w:w="48" w:type="dxa"/>
              <w:left w:w="48" w:type="dxa"/>
              <w:bottom w:w="48" w:type="dxa"/>
              <w:right w:w="48" w:type="dxa"/>
            </w:tcMar>
            <w:vAlign w:val="center"/>
            <w:hideMark/>
          </w:tcPr>
          <w:p w:rsidR="00102D09" w:rsidRPr="00102D09" w:rsidRDefault="00102D09" w:rsidP="00102D09">
            <w:pPr>
              <w:spacing w:after="150" w:line="240" w:lineRule="auto"/>
              <w:jc w:val="both"/>
              <w:textAlignment w:val="baseline"/>
              <w:rPr>
                <w:rFonts w:ascii="Times New Roman" w:eastAsia="Times New Roman" w:hAnsi="Times New Roman" w:cs="Times New Roman"/>
                <w:color w:val="000000"/>
                <w:sz w:val="24"/>
                <w:szCs w:val="24"/>
                <w:lang w:eastAsia="ro-RO"/>
              </w:rPr>
            </w:pPr>
            <w:r w:rsidRPr="00102D09">
              <w:rPr>
                <w:rFonts w:ascii="Times New Roman" w:eastAsia="Times New Roman" w:hAnsi="Times New Roman" w:cs="Times New Roman"/>
                <w:color w:val="333333"/>
                <w:sz w:val="24"/>
                <w:szCs w:val="24"/>
                <w:lang w:eastAsia="ro-RO"/>
              </w:rPr>
              <w:t>Şalupe, bărci cu motor, scutere de apă, iahturi, cu excepţia bărcilor necesare pentru uzul persoanelor care locuiesc în Rezervaţia Biosferei "Delta Dunării"                                                     </w:t>
            </w:r>
          </w:p>
        </w:tc>
      </w:tr>
      <w:tr w:rsidR="00102D09" w:rsidRPr="00102D09" w:rsidTr="00102D09">
        <w:tc>
          <w:tcPr>
            <w:tcW w:w="9750" w:type="dxa"/>
            <w:tcBorders>
              <w:top w:val="outset" w:sz="8" w:space="0" w:color="auto"/>
              <w:left w:val="outset" w:sz="8" w:space="0" w:color="auto"/>
              <w:bottom w:val="nil"/>
              <w:right w:val="outset" w:sz="8" w:space="0" w:color="auto"/>
            </w:tcBorders>
            <w:shd w:val="clear" w:color="auto" w:fill="D9E9F4"/>
            <w:tcMar>
              <w:top w:w="48" w:type="dxa"/>
              <w:left w:w="48" w:type="dxa"/>
              <w:bottom w:w="48" w:type="dxa"/>
              <w:right w:w="48" w:type="dxa"/>
            </w:tcMar>
            <w:vAlign w:val="center"/>
            <w:hideMark/>
          </w:tcPr>
          <w:p w:rsidR="00102D09" w:rsidRPr="00102D09" w:rsidRDefault="00102D09" w:rsidP="00102D09">
            <w:pPr>
              <w:spacing w:after="150" w:line="240" w:lineRule="auto"/>
              <w:jc w:val="both"/>
              <w:textAlignment w:val="baseline"/>
              <w:rPr>
                <w:rFonts w:ascii="Times New Roman" w:eastAsia="Times New Roman" w:hAnsi="Times New Roman" w:cs="Times New Roman"/>
                <w:color w:val="000000"/>
                <w:sz w:val="24"/>
                <w:szCs w:val="24"/>
                <w:lang w:eastAsia="ro-RO"/>
              </w:rPr>
            </w:pPr>
            <w:r w:rsidRPr="00102D09">
              <w:rPr>
                <w:rFonts w:ascii="Times New Roman" w:eastAsia="Times New Roman" w:hAnsi="Times New Roman" w:cs="Times New Roman"/>
                <w:color w:val="333333"/>
                <w:sz w:val="24"/>
                <w:szCs w:val="24"/>
                <w:lang w:eastAsia="ro-RO"/>
              </w:rPr>
              <w:t>Utilaje agricole: tractor, combină autopropulsată</w:t>
            </w:r>
          </w:p>
        </w:tc>
      </w:tr>
      <w:tr w:rsidR="00102D09" w:rsidRPr="00102D09" w:rsidTr="00102D09">
        <w:tc>
          <w:tcPr>
            <w:tcW w:w="9750" w:type="dxa"/>
            <w:tcBorders>
              <w:top w:val="outset" w:sz="8" w:space="0" w:color="auto"/>
              <w:left w:val="outset" w:sz="8" w:space="0" w:color="auto"/>
              <w:bottom w:val="nil"/>
              <w:right w:val="outset" w:sz="8" w:space="0" w:color="auto"/>
            </w:tcBorders>
            <w:shd w:val="clear" w:color="auto" w:fill="A5CCE5"/>
            <w:tcMar>
              <w:top w:w="48" w:type="dxa"/>
              <w:left w:w="48" w:type="dxa"/>
              <w:bottom w:w="48" w:type="dxa"/>
              <w:right w:w="48" w:type="dxa"/>
            </w:tcMar>
            <w:vAlign w:val="center"/>
            <w:hideMark/>
          </w:tcPr>
          <w:p w:rsidR="00102D09" w:rsidRPr="00102D09" w:rsidRDefault="00102D09" w:rsidP="00102D09">
            <w:pPr>
              <w:spacing w:after="150" w:line="240" w:lineRule="auto"/>
              <w:jc w:val="both"/>
              <w:textAlignment w:val="baseline"/>
              <w:rPr>
                <w:rFonts w:ascii="Times New Roman" w:eastAsia="Times New Roman" w:hAnsi="Times New Roman" w:cs="Times New Roman"/>
                <w:color w:val="000000"/>
                <w:sz w:val="24"/>
                <w:szCs w:val="24"/>
                <w:lang w:eastAsia="ro-RO"/>
              </w:rPr>
            </w:pPr>
            <w:r w:rsidRPr="00102D09">
              <w:rPr>
                <w:rFonts w:ascii="Times New Roman" w:eastAsia="Times New Roman" w:hAnsi="Times New Roman" w:cs="Times New Roman"/>
                <w:color w:val="333333"/>
                <w:sz w:val="24"/>
                <w:szCs w:val="24"/>
                <w:lang w:eastAsia="ro-RO"/>
              </w:rPr>
              <w:t>Utilaje de prelucrare agricolă: presă de ulei, moară de cereale</w:t>
            </w:r>
          </w:p>
        </w:tc>
      </w:tr>
      <w:tr w:rsidR="00102D09" w:rsidRPr="00102D09" w:rsidTr="00102D09">
        <w:tc>
          <w:tcPr>
            <w:tcW w:w="9750" w:type="dxa"/>
            <w:tcBorders>
              <w:top w:val="outset" w:sz="8" w:space="0" w:color="auto"/>
              <w:left w:val="outset" w:sz="8" w:space="0" w:color="auto"/>
              <w:bottom w:val="nil"/>
              <w:right w:val="outset" w:sz="8" w:space="0" w:color="auto"/>
            </w:tcBorders>
            <w:shd w:val="clear" w:color="auto" w:fill="D9E9F4"/>
            <w:tcMar>
              <w:top w:w="48" w:type="dxa"/>
              <w:left w:w="48" w:type="dxa"/>
              <w:bottom w:w="48" w:type="dxa"/>
              <w:right w:w="48" w:type="dxa"/>
            </w:tcMar>
            <w:vAlign w:val="center"/>
            <w:hideMark/>
          </w:tcPr>
          <w:p w:rsidR="00102D09" w:rsidRPr="00102D09" w:rsidRDefault="00102D09" w:rsidP="00102D09">
            <w:pPr>
              <w:spacing w:after="150" w:line="240" w:lineRule="auto"/>
              <w:jc w:val="both"/>
              <w:textAlignment w:val="baseline"/>
              <w:rPr>
                <w:rFonts w:ascii="Times New Roman" w:eastAsia="Times New Roman" w:hAnsi="Times New Roman" w:cs="Times New Roman"/>
                <w:color w:val="000000"/>
                <w:sz w:val="24"/>
                <w:szCs w:val="24"/>
                <w:lang w:eastAsia="ro-RO"/>
              </w:rPr>
            </w:pPr>
            <w:r w:rsidRPr="00102D09">
              <w:rPr>
                <w:rFonts w:ascii="Times New Roman" w:eastAsia="Times New Roman" w:hAnsi="Times New Roman" w:cs="Times New Roman"/>
                <w:color w:val="333333"/>
                <w:sz w:val="24"/>
                <w:szCs w:val="24"/>
                <w:lang w:eastAsia="ro-RO"/>
              </w:rPr>
              <w:t>Utilaje de prelucrat lemnul: gater sau alte utilaje de prelucrat lemnul acţionate hidraulic, mecanic sau electric                                </w:t>
            </w:r>
          </w:p>
        </w:tc>
      </w:tr>
      <w:tr w:rsidR="00102D09" w:rsidRPr="00102D09" w:rsidTr="00102D09">
        <w:tc>
          <w:tcPr>
            <w:tcW w:w="9750" w:type="dxa"/>
            <w:tcBorders>
              <w:top w:val="outset" w:sz="8" w:space="0" w:color="auto"/>
              <w:left w:val="outset" w:sz="8" w:space="0" w:color="auto"/>
              <w:bottom w:val="nil"/>
              <w:right w:val="outset" w:sz="8" w:space="0" w:color="auto"/>
            </w:tcBorders>
            <w:shd w:val="clear" w:color="auto" w:fill="A5CCE5"/>
            <w:tcMar>
              <w:top w:w="48" w:type="dxa"/>
              <w:left w:w="48" w:type="dxa"/>
              <w:bottom w:w="48" w:type="dxa"/>
              <w:right w:w="48" w:type="dxa"/>
            </w:tcMar>
            <w:vAlign w:val="center"/>
            <w:hideMark/>
          </w:tcPr>
          <w:p w:rsidR="00102D09" w:rsidRPr="00102D09" w:rsidRDefault="00102D09" w:rsidP="00102D09">
            <w:pPr>
              <w:spacing w:after="0" w:line="240" w:lineRule="auto"/>
              <w:jc w:val="both"/>
              <w:textAlignment w:val="baseline"/>
              <w:rPr>
                <w:rFonts w:ascii="Times New Roman" w:eastAsia="Times New Roman" w:hAnsi="Times New Roman" w:cs="Times New Roman"/>
                <w:color w:val="000000"/>
                <w:sz w:val="24"/>
                <w:szCs w:val="24"/>
                <w:lang w:eastAsia="ro-RO"/>
              </w:rPr>
            </w:pPr>
            <w:r w:rsidRPr="00102D09">
              <w:rPr>
                <w:rFonts w:ascii="Times New Roman" w:eastAsia="Times New Roman" w:hAnsi="Times New Roman" w:cs="Times New Roman"/>
                <w:b/>
                <w:bCs/>
                <w:i/>
                <w:iCs/>
                <w:color w:val="333333"/>
                <w:sz w:val="24"/>
                <w:szCs w:val="24"/>
                <w:u w:val="single"/>
                <w:bdr w:val="none" w:sz="0" w:space="0" w:color="auto" w:frame="1"/>
                <w:lang w:eastAsia="ro-RO"/>
              </w:rPr>
              <w:t>Depozite bancare</w:t>
            </w:r>
          </w:p>
        </w:tc>
      </w:tr>
      <w:tr w:rsidR="00102D09" w:rsidRPr="00102D09" w:rsidTr="00102D09">
        <w:tc>
          <w:tcPr>
            <w:tcW w:w="9750" w:type="dxa"/>
            <w:tcBorders>
              <w:top w:val="outset" w:sz="8" w:space="0" w:color="auto"/>
              <w:left w:val="outset" w:sz="8" w:space="0" w:color="auto"/>
              <w:bottom w:val="nil"/>
              <w:right w:val="outset" w:sz="8" w:space="0" w:color="auto"/>
            </w:tcBorders>
            <w:shd w:val="clear" w:color="auto" w:fill="D9E9F4"/>
            <w:tcMar>
              <w:top w:w="48" w:type="dxa"/>
              <w:left w:w="48" w:type="dxa"/>
              <w:bottom w:w="48" w:type="dxa"/>
              <w:right w:w="48" w:type="dxa"/>
            </w:tcMar>
            <w:vAlign w:val="center"/>
            <w:hideMark/>
          </w:tcPr>
          <w:p w:rsidR="00102D09" w:rsidRPr="00102D09" w:rsidRDefault="00102D09" w:rsidP="00102D09">
            <w:pPr>
              <w:spacing w:after="0" w:line="240" w:lineRule="auto"/>
              <w:jc w:val="both"/>
              <w:textAlignment w:val="baseline"/>
              <w:rPr>
                <w:rFonts w:ascii="Times New Roman" w:eastAsia="Times New Roman" w:hAnsi="Times New Roman" w:cs="Times New Roman"/>
                <w:color w:val="000000"/>
                <w:sz w:val="24"/>
                <w:szCs w:val="24"/>
                <w:lang w:eastAsia="ro-RO"/>
              </w:rPr>
            </w:pPr>
            <w:r w:rsidRPr="00102D09">
              <w:rPr>
                <w:rFonts w:ascii="Times New Roman" w:eastAsia="Times New Roman" w:hAnsi="Times New Roman" w:cs="Times New Roman"/>
                <w:b/>
                <w:bCs/>
                <w:color w:val="333333"/>
                <w:sz w:val="24"/>
                <w:szCs w:val="24"/>
                <w:bdr w:val="none" w:sz="0" w:space="0" w:color="auto" w:frame="1"/>
                <w:lang w:eastAsia="ro-RO"/>
              </w:rPr>
              <w:t>Depozite bancare cu valoare de peste 3.000 lei, cu excepția dobânzii</w:t>
            </w:r>
          </w:p>
        </w:tc>
      </w:tr>
      <w:tr w:rsidR="00102D09" w:rsidRPr="00102D09" w:rsidTr="00102D09">
        <w:tc>
          <w:tcPr>
            <w:tcW w:w="9750" w:type="dxa"/>
            <w:tcBorders>
              <w:top w:val="outset" w:sz="8" w:space="0" w:color="auto"/>
              <w:left w:val="outset" w:sz="8" w:space="0" w:color="auto"/>
              <w:bottom w:val="nil"/>
              <w:right w:val="outset" w:sz="8" w:space="0" w:color="auto"/>
            </w:tcBorders>
            <w:shd w:val="clear" w:color="auto" w:fill="A5CCE5"/>
            <w:tcMar>
              <w:top w:w="48" w:type="dxa"/>
              <w:left w:w="48" w:type="dxa"/>
              <w:bottom w:w="48" w:type="dxa"/>
              <w:right w:w="48" w:type="dxa"/>
            </w:tcMar>
            <w:vAlign w:val="center"/>
            <w:hideMark/>
          </w:tcPr>
          <w:p w:rsidR="00102D09" w:rsidRPr="00102D09" w:rsidRDefault="00102D09" w:rsidP="00102D09">
            <w:pPr>
              <w:spacing w:after="0" w:line="240" w:lineRule="auto"/>
              <w:jc w:val="both"/>
              <w:textAlignment w:val="baseline"/>
              <w:rPr>
                <w:rFonts w:ascii="Times New Roman" w:eastAsia="Times New Roman" w:hAnsi="Times New Roman" w:cs="Times New Roman"/>
                <w:color w:val="000000"/>
                <w:sz w:val="24"/>
                <w:szCs w:val="24"/>
                <w:lang w:eastAsia="ro-RO"/>
              </w:rPr>
            </w:pPr>
            <w:r w:rsidRPr="00102D09">
              <w:rPr>
                <w:rFonts w:ascii="Times New Roman" w:eastAsia="Times New Roman" w:hAnsi="Times New Roman" w:cs="Times New Roman"/>
                <w:b/>
                <w:bCs/>
                <w:i/>
                <w:iCs/>
                <w:color w:val="333333"/>
                <w:sz w:val="24"/>
                <w:szCs w:val="24"/>
                <w:u w:val="single"/>
                <w:bdr w:val="none" w:sz="0" w:space="0" w:color="auto" w:frame="1"/>
                <w:lang w:eastAsia="ro-RO"/>
              </w:rPr>
              <w:t>Terenuri/animale şi/sau păsări</w:t>
            </w:r>
          </w:p>
        </w:tc>
      </w:tr>
      <w:tr w:rsidR="00102D09" w:rsidRPr="00102D09" w:rsidTr="00102D09">
        <w:tc>
          <w:tcPr>
            <w:tcW w:w="9750" w:type="dxa"/>
            <w:tcBorders>
              <w:top w:val="outset" w:sz="8" w:space="0" w:color="auto"/>
              <w:left w:val="outset" w:sz="8" w:space="0" w:color="auto"/>
              <w:bottom w:val="nil"/>
              <w:right w:val="outset" w:sz="8" w:space="0" w:color="auto"/>
            </w:tcBorders>
            <w:shd w:val="clear" w:color="auto" w:fill="D9E9F4"/>
            <w:tcMar>
              <w:top w:w="48" w:type="dxa"/>
              <w:left w:w="48" w:type="dxa"/>
              <w:bottom w:w="48" w:type="dxa"/>
              <w:right w:w="48" w:type="dxa"/>
            </w:tcMar>
            <w:vAlign w:val="center"/>
            <w:hideMark/>
          </w:tcPr>
          <w:p w:rsidR="00102D09" w:rsidRPr="00102D09" w:rsidRDefault="00102D09" w:rsidP="00102D09">
            <w:pPr>
              <w:spacing w:after="0" w:line="240" w:lineRule="auto"/>
              <w:jc w:val="both"/>
              <w:textAlignment w:val="baseline"/>
              <w:rPr>
                <w:rFonts w:ascii="Times New Roman" w:eastAsia="Times New Roman" w:hAnsi="Times New Roman" w:cs="Times New Roman"/>
                <w:color w:val="000000"/>
                <w:sz w:val="24"/>
                <w:szCs w:val="24"/>
                <w:lang w:eastAsia="ro-RO"/>
              </w:rPr>
            </w:pPr>
            <w:r w:rsidRPr="00102D09">
              <w:rPr>
                <w:rFonts w:ascii="Times New Roman" w:eastAsia="Times New Roman" w:hAnsi="Times New Roman" w:cs="Times New Roman"/>
                <w:color w:val="333333"/>
                <w:sz w:val="24"/>
                <w:szCs w:val="24"/>
                <w:lang w:eastAsia="ro-RO"/>
              </w:rPr>
              <w:t>Suprafeţe de teren, animale şi păsări a căror valoare netă de producţie anuală depăşeşte suma de 1.000 euro pentru persoana singură, respectiv suma de 2.500 euro pentru familie</w:t>
            </w:r>
          </w:p>
        </w:tc>
      </w:tr>
    </w:tbl>
    <w:p w:rsidR="00102D09" w:rsidRPr="00102D09" w:rsidRDefault="00102D09" w:rsidP="00102D09">
      <w:pPr>
        <w:shd w:val="clear" w:color="auto" w:fill="FFFFFF"/>
        <w:spacing w:after="150" w:line="240" w:lineRule="auto"/>
        <w:jc w:val="both"/>
        <w:textAlignment w:val="baseline"/>
        <w:rPr>
          <w:rFonts w:ascii="Arial" w:eastAsia="Times New Roman" w:hAnsi="Arial" w:cs="Arial"/>
          <w:color w:val="000000"/>
          <w:sz w:val="24"/>
          <w:szCs w:val="24"/>
          <w:lang w:eastAsia="ro-RO"/>
        </w:rPr>
      </w:pPr>
      <w:r w:rsidRPr="00102D09">
        <w:rPr>
          <w:rFonts w:ascii="Times New Roman" w:eastAsia="Times New Roman" w:hAnsi="Times New Roman" w:cs="Times New Roman"/>
          <w:color w:val="333333"/>
          <w:sz w:val="24"/>
          <w:szCs w:val="24"/>
          <w:lang w:eastAsia="ro-RO"/>
        </w:rPr>
        <w:t>Reglementare: Legea nr. 226/2021 privind stabilirea măsurilor de protecție social pentru consumatorul vulnerabil de energie; </w:t>
      </w:r>
      <w:r w:rsidRPr="00102D09">
        <w:rPr>
          <w:rFonts w:ascii="Times New Roman" w:eastAsia="Times New Roman" w:hAnsi="Times New Roman" w:cs="Times New Roman"/>
          <w:color w:val="333333"/>
          <w:sz w:val="24"/>
          <w:szCs w:val="24"/>
          <w:shd w:val="clear" w:color="auto" w:fill="FCFCFC"/>
          <w:lang w:eastAsia="ro-RO"/>
        </w:rPr>
        <w:t>H.G. nr. 1073/2021 pentru aprobarea Normelor metodologice de aplicare a prevederilor Legii nr. 226/2021 privind stabilirea măsurilor de protecție socială pentru consumatorul vulnerabil de energie</w:t>
      </w:r>
      <w:r w:rsidRPr="00102D09">
        <w:rPr>
          <w:rFonts w:ascii="Helvetica" w:eastAsia="Times New Roman" w:hAnsi="Helvetica" w:cs="Helvetica"/>
          <w:color w:val="333333"/>
          <w:sz w:val="21"/>
          <w:szCs w:val="21"/>
          <w:shd w:val="clear" w:color="auto" w:fill="FCFCFC"/>
          <w:lang w:eastAsia="ro-RO"/>
        </w:rPr>
        <w:t>.</w:t>
      </w:r>
    </w:p>
    <w:sectPr w:rsidR="00102D09" w:rsidRPr="00102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2998"/>
    <w:multiLevelType w:val="multilevel"/>
    <w:tmpl w:val="EF98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09"/>
    <w:rsid w:val="00102D09"/>
    <w:rsid w:val="007335A0"/>
    <w:rsid w:val="009459D4"/>
    <w:rsid w:val="00F17B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911865">
      <w:bodyDiv w:val="1"/>
      <w:marLeft w:val="0"/>
      <w:marRight w:val="0"/>
      <w:marTop w:val="0"/>
      <w:marBottom w:val="0"/>
      <w:divBdr>
        <w:top w:val="none" w:sz="0" w:space="0" w:color="auto"/>
        <w:left w:val="none" w:sz="0" w:space="0" w:color="auto"/>
        <w:bottom w:val="none" w:sz="0" w:space="0" w:color="auto"/>
        <w:right w:val="none" w:sz="0" w:space="0" w:color="auto"/>
      </w:divBdr>
      <w:divsChild>
        <w:div w:id="1056316340">
          <w:marLeft w:val="0"/>
          <w:marRight w:val="0"/>
          <w:marTop w:val="0"/>
          <w:marBottom w:val="0"/>
          <w:divBdr>
            <w:top w:val="none" w:sz="0" w:space="0" w:color="auto"/>
            <w:left w:val="none" w:sz="0" w:space="0" w:color="auto"/>
            <w:bottom w:val="none" w:sz="0" w:space="0" w:color="auto"/>
            <w:right w:val="none" w:sz="0" w:space="0" w:color="auto"/>
          </w:divBdr>
          <w:divsChild>
            <w:div w:id="344792338">
              <w:marLeft w:val="0"/>
              <w:marRight w:val="0"/>
              <w:marTop w:val="0"/>
              <w:marBottom w:val="0"/>
              <w:divBdr>
                <w:top w:val="none" w:sz="0" w:space="0" w:color="auto"/>
                <w:left w:val="none" w:sz="0" w:space="0" w:color="auto"/>
                <w:bottom w:val="none" w:sz="0" w:space="0" w:color="auto"/>
                <w:right w:val="none" w:sz="0" w:space="0" w:color="auto"/>
              </w:divBdr>
              <w:divsChild>
                <w:div w:id="570699549">
                  <w:marLeft w:val="0"/>
                  <w:marRight w:val="0"/>
                  <w:marTop w:val="0"/>
                  <w:marBottom w:val="0"/>
                  <w:divBdr>
                    <w:top w:val="none" w:sz="0" w:space="0" w:color="auto"/>
                    <w:left w:val="none" w:sz="0" w:space="0" w:color="auto"/>
                    <w:bottom w:val="none" w:sz="0" w:space="0" w:color="auto"/>
                    <w:right w:val="none" w:sz="0" w:space="0" w:color="auto"/>
                  </w:divBdr>
                  <w:divsChild>
                    <w:div w:id="1376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525890">
          <w:marLeft w:val="0"/>
          <w:marRight w:val="0"/>
          <w:marTop w:val="0"/>
          <w:marBottom w:val="0"/>
          <w:divBdr>
            <w:top w:val="none" w:sz="0" w:space="0" w:color="auto"/>
            <w:left w:val="none" w:sz="0" w:space="0" w:color="auto"/>
            <w:bottom w:val="none" w:sz="0" w:space="0" w:color="auto"/>
            <w:right w:val="none" w:sz="0" w:space="0" w:color="auto"/>
          </w:divBdr>
          <w:divsChild>
            <w:div w:id="1726834785">
              <w:marLeft w:val="0"/>
              <w:marRight w:val="0"/>
              <w:marTop w:val="0"/>
              <w:marBottom w:val="0"/>
              <w:divBdr>
                <w:top w:val="none" w:sz="0" w:space="0" w:color="auto"/>
                <w:left w:val="none" w:sz="0" w:space="0" w:color="auto"/>
                <w:bottom w:val="none" w:sz="0" w:space="0" w:color="auto"/>
                <w:right w:val="none" w:sz="0" w:space="0" w:color="auto"/>
              </w:divBdr>
            </w:div>
          </w:divsChild>
        </w:div>
        <w:div w:id="1316451911">
          <w:marLeft w:val="0"/>
          <w:marRight w:val="0"/>
          <w:marTop w:val="0"/>
          <w:marBottom w:val="0"/>
          <w:divBdr>
            <w:top w:val="none" w:sz="0" w:space="0" w:color="auto"/>
            <w:left w:val="none" w:sz="0" w:space="0" w:color="auto"/>
            <w:bottom w:val="none" w:sz="0" w:space="0" w:color="auto"/>
            <w:right w:val="none" w:sz="0" w:space="0" w:color="auto"/>
          </w:divBdr>
          <w:divsChild>
            <w:div w:id="700476175">
              <w:marLeft w:val="0"/>
              <w:marRight w:val="0"/>
              <w:marTop w:val="0"/>
              <w:marBottom w:val="0"/>
              <w:divBdr>
                <w:top w:val="none" w:sz="0" w:space="0" w:color="auto"/>
                <w:left w:val="none" w:sz="0" w:space="0" w:color="auto"/>
                <w:bottom w:val="none" w:sz="0" w:space="0" w:color="auto"/>
                <w:right w:val="none" w:sz="0" w:space="0" w:color="auto"/>
              </w:divBdr>
            </w:div>
          </w:divsChild>
        </w:div>
        <w:div w:id="1484467203">
          <w:marLeft w:val="0"/>
          <w:marRight w:val="0"/>
          <w:marTop w:val="0"/>
          <w:marBottom w:val="0"/>
          <w:divBdr>
            <w:top w:val="none" w:sz="0" w:space="0" w:color="auto"/>
            <w:left w:val="none" w:sz="0" w:space="0" w:color="auto"/>
            <w:bottom w:val="none" w:sz="0" w:space="0" w:color="auto"/>
            <w:right w:val="none" w:sz="0" w:space="0" w:color="auto"/>
          </w:divBdr>
          <w:divsChild>
            <w:div w:id="6685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8456">
      <w:bodyDiv w:val="1"/>
      <w:marLeft w:val="0"/>
      <w:marRight w:val="0"/>
      <w:marTop w:val="0"/>
      <w:marBottom w:val="0"/>
      <w:divBdr>
        <w:top w:val="none" w:sz="0" w:space="0" w:color="auto"/>
        <w:left w:val="none" w:sz="0" w:space="0" w:color="auto"/>
        <w:bottom w:val="none" w:sz="0" w:space="0" w:color="auto"/>
        <w:right w:val="none" w:sz="0" w:space="0" w:color="auto"/>
      </w:divBdr>
    </w:div>
    <w:div w:id="1908490715">
      <w:bodyDiv w:val="1"/>
      <w:marLeft w:val="0"/>
      <w:marRight w:val="0"/>
      <w:marTop w:val="0"/>
      <w:marBottom w:val="0"/>
      <w:divBdr>
        <w:top w:val="none" w:sz="0" w:space="0" w:color="auto"/>
        <w:left w:val="none" w:sz="0" w:space="0" w:color="auto"/>
        <w:bottom w:val="none" w:sz="0" w:space="0" w:color="auto"/>
        <w:right w:val="none" w:sz="0" w:space="0" w:color="auto"/>
      </w:divBdr>
      <w:divsChild>
        <w:div w:id="186795085">
          <w:blockQuote w:val="1"/>
          <w:marLeft w:val="0"/>
          <w:marRight w:val="600"/>
          <w:marTop w:val="240"/>
          <w:marBottom w:val="240"/>
          <w:divBdr>
            <w:top w:val="none" w:sz="0" w:space="0" w:color="3C14A0"/>
            <w:left w:val="single" w:sz="24" w:space="23" w:color="3C14A0"/>
            <w:bottom w:val="none" w:sz="0" w:space="0" w:color="3C14A0"/>
            <w:right w:val="none" w:sz="0" w:space="0" w:color="3C14A0"/>
          </w:divBdr>
        </w:div>
      </w:divsChild>
    </w:div>
    <w:div w:id="200620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682</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CONTABIL_PCO</dc:creator>
  <cp:lastModifiedBy>CONTABIL_PCO</cp:lastModifiedBy>
  <cp:revision>2</cp:revision>
  <cp:lastPrinted>2023-10-24T07:06:00Z</cp:lastPrinted>
  <dcterms:created xsi:type="dcterms:W3CDTF">2023-10-24T06:48:00Z</dcterms:created>
  <dcterms:modified xsi:type="dcterms:W3CDTF">2023-10-24T07:13:00Z</dcterms:modified>
</cp:coreProperties>
</file>